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F4706" w:rsidRPr="006E3F42" w:rsidRDefault="006F4706" w:rsidP="00707E13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 w:rsidRPr="006E3F42">
        <w:rPr>
          <w:rFonts w:ascii="Bookman Old Style" w:hAnsi="Bookman Old Style"/>
          <w:b/>
          <w:sz w:val="36"/>
          <w:szCs w:val="36"/>
        </w:rPr>
        <w:t>Дайджест «Библиотекарю на заметку…»</w:t>
      </w:r>
    </w:p>
    <w:p w:rsidR="006F4706" w:rsidRPr="006E3F42" w:rsidRDefault="006F4706" w:rsidP="00707E13">
      <w:pPr>
        <w:spacing w:after="0"/>
        <w:jc w:val="both"/>
        <w:rPr>
          <w:rFonts w:ascii="Bookman Old Style" w:hAnsi="Bookman Old Style"/>
          <w:sz w:val="36"/>
          <w:szCs w:val="36"/>
        </w:rPr>
      </w:pPr>
    </w:p>
    <w:p w:rsidR="0020555C" w:rsidRPr="006E3F42" w:rsidRDefault="0020555C" w:rsidP="00707E13">
      <w:pPr>
        <w:spacing w:after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 xml:space="preserve">Отдел текущих периодических и новых поступлений Национальной библиотеки РД им. Р. Гамзатова предлагает вашему вниманию дайджест, предназначенных для библиотечных специалистов.  </w:t>
      </w:r>
    </w:p>
    <w:p w:rsidR="0020555C" w:rsidRPr="006E3F42" w:rsidRDefault="0020555C" w:rsidP="00707E13">
      <w:pPr>
        <w:spacing w:after="0"/>
        <w:ind w:firstLine="709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В дайджесте представлены идеи из опыта работы российских библиотек, по материалам профессиональных периодических изданий. Он содержит материалы,</w:t>
      </w:r>
      <w:r w:rsidR="004619D4" w:rsidRPr="006E3F42">
        <w:rPr>
          <w:rFonts w:ascii="Bookman Old Style" w:hAnsi="Bookman Old Style"/>
          <w:sz w:val="26"/>
          <w:szCs w:val="26"/>
        </w:rPr>
        <w:t xml:space="preserve"> о новых публикациях по основным направлениям библиотечно-информационной деятельности</w:t>
      </w:r>
      <w:r w:rsidRPr="006E3F42">
        <w:rPr>
          <w:rFonts w:ascii="Bookman Old Style" w:hAnsi="Bookman Old Style"/>
          <w:sz w:val="26"/>
          <w:szCs w:val="26"/>
        </w:rPr>
        <w:t>.  Будем надеяться, что это позволит сделать еще один шаг в решении задач по использованию многообразия нетрадиционных и инновационных форм работ</w:t>
      </w:r>
      <w:r w:rsidR="006F4706" w:rsidRPr="006E3F42">
        <w:rPr>
          <w:rFonts w:ascii="Bookman Old Style" w:hAnsi="Bookman Old Style"/>
          <w:sz w:val="26"/>
          <w:szCs w:val="26"/>
        </w:rPr>
        <w:t>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Баринова, Ирина Леонидовна.</w:t>
      </w:r>
      <w:r w:rsidR="0020555C" w:rsidRPr="006E3F42">
        <w:rPr>
          <w:rFonts w:ascii="Bookman Old Style" w:hAnsi="Bookman Old Style"/>
          <w:sz w:val="26"/>
          <w:szCs w:val="26"/>
        </w:rPr>
        <w:t xml:space="preserve"> Спасти от одиночества : [создание видеороликов в поддержку чтения] / И. Л. Баринова // Современная библиотека. - 2023. - N 4. - С. 40-41.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Один из самых интересных форматов привлечения школьников к чтению – короткие видеоролики о современных детских книгах. Автор статьи обобщает опыт работы по продвижению книги и чтения в интернет-пространстве: это создание буктрейлеров, виртуальная выставка «Новинки из книжной корзинки», интерактивные игры, познавательные онлайн-проекты, мини-квесты. Пользуются популярностью информационная акция «Спасём книгу от одиночества», сетевая акция «Книжный птицеград», серия мини-квестов «Улётный квест для мозгов».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Болотова, Юлия Геннадьевна.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На библиобульваре проходит мастер-класс : [опыт работы по продвижению книги и чтения вне стен библиотеки] / Ю. Г. Болотова // Современная библиотека. - 2023. - N 4. - С. 82</w:t>
      </w:r>
      <w:r w:rsidRPr="006E3F42">
        <w:rPr>
          <w:rFonts w:ascii="Bookman Old Style" w:hAnsi="Bookman Old Style"/>
          <w:sz w:val="26"/>
          <w:szCs w:val="26"/>
        </w:rPr>
        <w:t xml:space="preserve"> -</w:t>
      </w:r>
      <w:r w:rsidR="0020555C" w:rsidRPr="006E3F42">
        <w:rPr>
          <w:rFonts w:ascii="Bookman Old Style" w:hAnsi="Bookman Old Style"/>
          <w:sz w:val="26"/>
          <w:szCs w:val="26"/>
        </w:rPr>
        <w:t xml:space="preserve"> 83.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Статья рассказывает о проекте «Библиобульвар», реализуемого с целью создания на улицах города под открытым небом свободного доступа к книжным фондам через организацию книжных выставок, обзорных бесед, видеороликов, творческих мероприятиях, мастер-классов, встречах с писателями на площадках «Библиобульвара». «Библиобульвар» представлен на нескольких площадках»: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«Читальный зал под открытым небом» (передвижные витрины для книжных выставок, организация записи в библиотеку, выдача книг, встречи с писателями, обзорные беседы, консультации юриста, анонсирование современных книг)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lastRenderedPageBreak/>
        <w:t>•</w:t>
      </w:r>
      <w:r w:rsidRPr="006E3F42">
        <w:rPr>
          <w:rFonts w:ascii="Bookman Old Style" w:hAnsi="Bookman Old Style"/>
          <w:sz w:val="26"/>
          <w:szCs w:val="26"/>
        </w:rPr>
        <w:tab/>
        <w:t>«Калейдоскоп талантов» (место для проведения мастер-классов)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«Подари себе книгу» (обмен книгами, мнениями о книгах между жителями города)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«Спортивная площадка» (установка спортивного инвентаря для проведения физминуток и рекламы ЗОЖ)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Бреслав А.Е.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Книжная культура как фактор, объединяющий подростков. Рефлексия – составляющая процесс чтения / А. Е. Бреслав, А. С. Быкова, В. А. Порох // Библиотечное дело. – 2023. – №14. – С. 14–17. 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Предметом исследования специалистов Библиотеки Российской академии наук, Фундаментальной библиотеки военно-медицинской академии им. С. М. Кирова и Российской национальной библиотеки стал анализ чтения современных подростков, выявление его отличий от культуры чтения предыдущих поколений. В качестве респондентов были выбраны группы подростков, заинтересованных в чтении как в досуге, – студенты, получающие образование в учреждениях библиотечно-информационной направленности, учащиеся классов гуманитарного профиля и группы школьников, увлекающиеся чтением. В период с сентября 2022 г. по март 2023 г. было проведено четыре открытых беседы с респондентами, которые относились к группе Z. Полученные ответы были обобщены и проанализированы (авторы приводят в статье примеры ответов по каждому блоку). На основе анализа сделаны следующие выводы: – отношение к книге и чтению одинаково и не зависит от уровня и места обучения подростков; – предпочтение отдается печатным книгам; – на выбор литературы большое влияние оказывают рекомендации в социальных сетях; – важное значение при выборе книги имеет ее внешний вывод, полиграфические качества, аннотация; – чтение носит рефлексивный характер; – подростки читают с целью саморазвития, расширения кругозора, получения нового опыта, досуга. Тоже, по словам авторов, можно сказать и о книжной культуре старших поколений.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Гуцкалова, Татьяна Николаевна</w:t>
      </w:r>
      <w:r w:rsidR="0020555C" w:rsidRPr="006E3F42">
        <w:rPr>
          <w:rFonts w:ascii="Bookman Old Style" w:hAnsi="Bookman Old Style"/>
          <w:sz w:val="26"/>
          <w:szCs w:val="26"/>
        </w:rPr>
        <w:t>. Кола глазами молодёжи : [опыт работы Школы гидов-краеведов] / Т. Н. Гуцкалова. - Текст : непосредственный // Современная библиотека. - 2023. - N 3. - С. 72</w:t>
      </w:r>
      <w:r w:rsidRPr="006E3F42">
        <w:rPr>
          <w:rFonts w:ascii="Bookman Old Style" w:hAnsi="Bookman Old Style"/>
          <w:sz w:val="26"/>
          <w:szCs w:val="26"/>
        </w:rPr>
        <w:t>-</w:t>
      </w:r>
      <w:r w:rsidR="0020555C" w:rsidRPr="006E3F42">
        <w:rPr>
          <w:rFonts w:ascii="Bookman Old Style" w:hAnsi="Bookman Old Style"/>
          <w:sz w:val="26"/>
          <w:szCs w:val="26"/>
        </w:rPr>
        <w:t xml:space="preserve"> 73.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Библиотечный туризм является интересным и перспективным направлением работы библиотек. Проект «Школа гидов-краеведов» разработан с задачами: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расширение знаний молодого поколения об историческом, культурном и природном наследи родного края;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lastRenderedPageBreak/>
        <w:t>•</w:t>
      </w:r>
      <w:r w:rsidRPr="006E3F42">
        <w:rPr>
          <w:rFonts w:ascii="Bookman Old Style" w:hAnsi="Bookman Old Style"/>
          <w:sz w:val="26"/>
          <w:szCs w:val="26"/>
        </w:rPr>
        <w:tab/>
        <w:t>активизация познавательной деятельности людей и молодёжи, развитие их интеллектуальных и творческих способностей;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воспитание чувства гордости и бережного отношения к историческим и культурным объектам своего края;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стимулирование развития внутреннего туризма;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•</w:t>
      </w:r>
      <w:r w:rsidRPr="006E3F42">
        <w:rPr>
          <w:rFonts w:ascii="Bookman Old Style" w:hAnsi="Bookman Old Style"/>
          <w:sz w:val="26"/>
          <w:szCs w:val="26"/>
        </w:rPr>
        <w:tab/>
        <w:t>активизация волонтёрской деятельности молодёжи.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Основной этап включал занятия в соответствии с программой и разработку участниками Школы гидов-краеведов собственной программы – экскурсии по родному городу.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6E3F42"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Дворецкая М.А.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Профориентация: от науки до практики / М. А. Дворецкая, П. А. Милина //Современная библиотека. – 2023. – № 7. – С. 74–77. 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 xml:space="preserve">Профориентация – важная составляющая деятельности Городской библиотеки им. Р. Солнцева – филиала № 19 ЦБС для детей им. Н. Островского г. Красноярска. Опыт проведения профориентационных мероприятий был аккумулирован в проект «Неделя информации», получивший поддержку грантового конкурса «Территория Красноярский край». Проект предполагал проведение в течение недели комплекса мероприятий: тестирование школьников на выявление особенностей психики и склонностей к тем или иным видам деятельности; встречи с представителями различных профессий; воркшопы (практические занятия по овладению навыками прикладных специальностей); профориентационные игры; нетворинг. Завершающим мероприятием стал квиз с вопросами о современных профессиях и их особенностях. 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 xml:space="preserve">Кочеткова М. С. Клуб настольных игр. Как формировать комьюнити в библиотеке </w:t>
      </w:r>
      <w:r w:rsidR="0020555C" w:rsidRPr="006E3F42">
        <w:rPr>
          <w:rFonts w:ascii="Bookman Old Style" w:hAnsi="Bookman Old Style"/>
          <w:sz w:val="26"/>
          <w:szCs w:val="26"/>
        </w:rPr>
        <w:t>// Библиотечное дело. – 2023. – №11. – С. 40–41.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 xml:space="preserve"> В статье специалиста отдела молодежных программ Волгоградской областной библиотеки для молодежи описываются основные этапы создания сообщества. Каждый из них требует тщательного рассмотрения и планирования (постановка четкой цели, определение идентичности сообщества, разработка общего набора ценностей, эстетики сообщества, измерение успеха). 9 Постановка четких целей – один из наиболее важных элементов создания сообщества. Цели должны быть достижимыми и измеримыми, ведь участники должны отслеживать свой прогресс и успех сообщества. Чтобы каждый чувствовал себя заинтересованным в результате, в постановке целей должны участвовать все участники сообщества. Основным объединяющим началом сообщества является определение его идентичности, то есть определение </w:t>
      </w:r>
      <w:r w:rsidR="0020555C" w:rsidRPr="006E3F42">
        <w:rPr>
          <w:rFonts w:ascii="Bookman Old Style" w:hAnsi="Bookman Old Style"/>
          <w:sz w:val="26"/>
          <w:szCs w:val="26"/>
        </w:rPr>
        <w:lastRenderedPageBreak/>
        <w:t>того, за что это сообщество выступает, во что оно верит и каковы его ценности. Особую роль играет выработка общего набора ценностей, которые служат руководством для участников. Важный элемент процесса создания сообщества – измерение успеха, включающее в себя настройку показателей для отслеживания прогресса, оценки производительностии определения областей для улучшения. Показатели могут быть количественными (рост членства) или качественными (вовлеченность и удовлетворенность участников). Решающее значение для создания чувства единства и самобытности сообщества имеет разработка эстетики сообщества (разработка логотипа, цветовой схемы и типографики). Дизайн должен быть согласован на всех платформах, от вебсайта до социальных сетей. Настольные игры, как объект для создания сообщества, по мнению автора, несмотря на совершенно разный внешний вид и требования к навыкам, объединяет изначальная простота правил и абстрактность происходящего. Именно поэтому настольные игры стали основой для библиотечного клуба «За столом».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Кямкина, Е.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Ваш микрорайон уникален! [Текст] / Е. Кямкина // Библиотека. – 2023. - № 6. – С. 63-65.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 xml:space="preserve"> В статье рассказывается о проектах Муниципального объединения библиотек г. Екатеринбурга. В сотрудничестве с Музеем истории Екатеринбурга — это учреждение разработало авторские проекты, нацеленные на раскрытие внутренних перспектив своих территорий. Опыт реализации проектов может быть полезен как сотрудникам библиотек больших городов, так и малых населенных пунктов. Особенно на статью хочется обратить внимание коллег, которые участвуют в проекте «Гений места». 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 xml:space="preserve"> Палкевич, О. Я.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Проектная деятельность – инструмент менеджмента консенсуса в современной библиотеке [Текст] / О. Я. Палкевич // Библиотековедение. - 2023. - Т. 72, № 1. - С. 21-28. 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Проектная деятельность – инструмент диверсификации управления современной библиотекой в условиях высокой сложности и неопределенности, способ достройки и усиления вертикали государственной власти горизонтальными связями самоорганизующихся одноранговых групп. Участие в проектной деятельности позволяет выстраивать пространство доверия между администрацией и сотрудниками библиотеки, формировать совместные разделяемые цели и ценности, способствует укреплению консенсуса. Проектная деятельность содействует эффективному решению сложных задач, стоящих перед современной библиотекой.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Рослякова, Н. С</w:t>
      </w:r>
      <w:r w:rsidR="0020555C" w:rsidRPr="006E3F42">
        <w:rPr>
          <w:rFonts w:ascii="Bookman Old Style" w:hAnsi="Bookman Old Style"/>
          <w:sz w:val="26"/>
          <w:szCs w:val="26"/>
        </w:rPr>
        <w:t xml:space="preserve"> технологиями на «ты» [Текст] / Н. Рослякова // Библиополе. – 2023. - № 6. – С. 57-61. 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Центральная городская библиотека имени А. С. Пушкина г. Ачинска Красноярского края в 2023 году стала площадкой реализации проекта «Гений места»: для этого был разработан собственный проект «[А]чинск в кадре». Одним из самых крупных и востребованных мероприятий в рамках проекта стал профориентационный фестиваль «Креативные индустрии», во время проведения которого молодежь имела возможность познакомиться с интересующими их профессиями. Для определения интересов аудитории было проведено анкетирование в библиотеке и на официальном сайте. Из всех направлений, которые были предложены респондентами, были выбраны пять: «Мобилография», «Промышленный дизайн», «Фото- и видеопроизводство», «Креативные технологии» и «Архитектура».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Сахабова Р. Ф.</w:t>
      </w:r>
      <w:r w:rsidR="0020555C" w:rsidRPr="006E3F42">
        <w:rPr>
          <w:rFonts w:ascii="Bookman Old Style" w:hAnsi="Bookman Old Style"/>
          <w:sz w:val="26"/>
          <w:szCs w:val="26"/>
        </w:rPr>
        <w:t xml:space="preserve"> Форсайт от молодежи // Современная библиотека. – 2023. – №7. – С. 42–44. 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Нижнекамская ЦБС Республики Татарстан запустила масштабную «Программу развития чтения», ключевую роль в которой занимают поисковые исследования. Их цель– составить портрет современного подростка как потенциального посетителя библиотеки, определить место книги и чтения в его жизни. Для достижения поставленной цели команда библиотекарей организовала форсайт-сессии в школах города. Мероприятия помогли понять, в каком направлении двигаться дальше в работе с молодежью. Благодаря проведенному исследованию, был составлен портрет современного подростка и сделаны выводы.</w:t>
      </w:r>
    </w:p>
    <w:p w:rsidR="0020555C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 xml:space="preserve">Полученные данные легли способствовали внедрению в практику работы нестандартных форм. Например, были организованы творческие мастер-классы по росписи холщевых сумок, шопперов. Тематику будущего рисунка или графического изображения ребята определяли с помощью любимых книг. Сотрудники библиотеки семейного чтения № 4 освоили новую интересную технику рисования на поверхности воды «эбру» и теперь успешно организуют индивидуальные мастер-классы по созданию уникальной картины. Одной из самых удачных нестандартных форм взаимодействия с подростками стала поэтическая дискуссия с ярким представителем современного молодого поколения, объединившая темы поэзии и юности. Встреча была посвящена творчеству Героя Советского Союза, великого татарского поэта Мусы Джалиля. В завершение статьи автора делает выводы: необходимо проводить постоянный мониторинг читательских и досуговых потребностей молодежи, обязательно </w:t>
      </w:r>
      <w:r w:rsidRPr="006E3F42">
        <w:rPr>
          <w:rFonts w:ascii="Bookman Old Style" w:hAnsi="Bookman Old Style"/>
          <w:sz w:val="26"/>
          <w:szCs w:val="26"/>
        </w:rPr>
        <w:lastRenderedPageBreak/>
        <w:t>учитывать ее мнение при разработке мероприятий, обсуждать темы, интересные молодым людям, усилить рекламу мероприятий в привлекательной для молодежи форме.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Трофимова, И. Н.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Публикационная активность в контексте целевых ориентиров научной политики: библиометрический анализ [Текст] / И. Н. Трофимова // Научные и технические библиотеки. - 2023 - № 2 - С. 59-79.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В статье дается оценка публикационной активности российских ученых в контексте целевых ориентиров государственной научно-технической политики. Новизна исследования заключается в выделении и анализе внутренних и внешних факторов публикационной активности. Основной метод – сопоставление библиометрических показателей, которые характеризуют труды отечественных авторов, размещенные в базе данных Scopus.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Первый проект с искусственным интеллектом</w:t>
      </w:r>
      <w:r w:rsidR="0020555C" w:rsidRPr="006E3F42">
        <w:rPr>
          <w:rFonts w:ascii="Bookman Old Style" w:hAnsi="Bookman Old Style"/>
          <w:sz w:val="26"/>
          <w:szCs w:val="26"/>
        </w:rPr>
        <w:t xml:space="preserve"> // Современная библиотека. – 2023. – №7. – С. 5. 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>#КультураНейроФормат– первый проект с искусственным интеллектом, который запустила Курская областная универсальная научная библиотека им. Н. Н. Асеева. Проект открывается большим циклом #КурскНейроКрай,который представляет историю, культуру, литературу, достижения выдающихся людей края через визуализацию. В социальной сети «ВКонтакте» планируется публикация постов с созданными нейросетью изображениями достопримечательностей Курской области и любимых книжных героев. Сотрудниками библиотеки уже подготовлены с помощью искусственного интеллекта иллюстрации к стихотворению Константина Бальмонта «Август» и повести-феерии «Алые паруса». Весь проект будет состоять из циклов #ЛитНейроДайджест, #ЛитНейроГерой, #ЛитНейроСюжет,#АртНейроВернисаж,#КурскНейроКрай.</w:t>
      </w:r>
    </w:p>
    <w:p w:rsidR="006E3F42" w:rsidRPr="006E3F42" w:rsidRDefault="00707E13" w:rsidP="00707E13">
      <w:pPr>
        <w:spacing w:after="0"/>
        <w:jc w:val="both"/>
        <w:rPr>
          <w:rFonts w:ascii="Bookman Old Style" w:hAnsi="Bookman Old Style"/>
          <w:b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</w:p>
    <w:p w:rsidR="0020555C" w:rsidRPr="006E3F42" w:rsidRDefault="006E3F42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b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>Филина, М.</w:t>
      </w:r>
      <w:r w:rsidR="0020555C" w:rsidRPr="006E3F42">
        <w:rPr>
          <w:rFonts w:ascii="Bookman Old Style" w:hAnsi="Bookman Old Style"/>
          <w:sz w:val="26"/>
          <w:szCs w:val="26"/>
        </w:rPr>
        <w:t xml:space="preserve"> Азбука библиотечного проектирования / М. Филина // Библиополе. – 2023. - № 5. – С. 9-16.</w:t>
      </w: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sz w:val="26"/>
          <w:szCs w:val="26"/>
        </w:rPr>
        <w:t xml:space="preserve">Для того чтобы идти в ногу со временем, библиотеки вынуждены постоянно искать новые перспективы, инновационные формы работы, способы улучшить материально - техническую базу библиотеки. Проектная деятельность как раз помогает привлечь дополнительные средства в учреждение, с помощью которых можно реализовать различные идеи. Муниципальная библиотечная система г. Северодвинска Архангельской области запускает серию статей в журнале «Библиополе», </w:t>
      </w:r>
      <w:r w:rsidR="0020555C" w:rsidRPr="006E3F42">
        <w:rPr>
          <w:rFonts w:ascii="Bookman Old Style" w:hAnsi="Bookman Old Style"/>
          <w:sz w:val="26"/>
          <w:szCs w:val="26"/>
        </w:rPr>
        <w:lastRenderedPageBreak/>
        <w:t>чтобы помочь коллегам погрузиться в тему проектной деятельности. В первой статье автор знакомит с историей проектной работы Северодвинской МБС, делает акцент на том, с чего следует начать подготовку к проектированию и где искать источники вдохновения.</w:t>
      </w:r>
    </w:p>
    <w:p w:rsidR="00707E13" w:rsidRPr="006E3F42" w:rsidRDefault="0020555C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>Также предлагаем сразу ознакомиться с продолжением статьи в следующем номере журнала «Библиополе»: Филина, М. Азбука библиотечного проектирования [Текст] / М. Филина // Библиополе. – 2023 - № 6 – С. 2-10.</w:t>
      </w:r>
    </w:p>
    <w:p w:rsidR="00707E13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:rsidR="0020555C" w:rsidRPr="006E3F42" w:rsidRDefault="00707E13" w:rsidP="00707E13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ab/>
      </w:r>
      <w:r w:rsidR="0020555C" w:rsidRPr="006E3F42">
        <w:rPr>
          <w:rFonts w:ascii="Bookman Old Style" w:hAnsi="Bookman Old Style"/>
          <w:b/>
          <w:sz w:val="26"/>
          <w:szCs w:val="26"/>
        </w:rPr>
        <w:t xml:space="preserve"> Яворская М.А.</w:t>
      </w:r>
      <w:r w:rsidR="0020555C" w:rsidRPr="006E3F42">
        <w:rPr>
          <w:rFonts w:ascii="Bookman Old Style" w:hAnsi="Bookman Old Style"/>
          <w:sz w:val="26"/>
          <w:szCs w:val="26"/>
        </w:rPr>
        <w:t xml:space="preserve"> Центр креативных практик. Практикуем котичинг, расширяем кругозор // Библиотечное дело. – 2023. – № 11. – С. 11–12.</w:t>
      </w:r>
    </w:p>
    <w:p w:rsidR="0020555C" w:rsidRPr="006E3F42" w:rsidRDefault="0020555C" w:rsidP="006E3F42">
      <w:pPr>
        <w:spacing w:after="0"/>
        <w:ind w:left="-426" w:firstLine="426"/>
        <w:jc w:val="both"/>
        <w:rPr>
          <w:rFonts w:ascii="Bookman Old Style" w:hAnsi="Bookman Old Style"/>
          <w:sz w:val="26"/>
          <w:szCs w:val="26"/>
        </w:rPr>
      </w:pPr>
      <w:r w:rsidRPr="006E3F42">
        <w:rPr>
          <w:rFonts w:ascii="Bookman Old Style" w:hAnsi="Bookman Old Style"/>
          <w:sz w:val="26"/>
          <w:szCs w:val="26"/>
        </w:rPr>
        <w:t xml:space="preserve"> </w:t>
      </w:r>
      <w:r w:rsidR="00707E13" w:rsidRPr="006E3F42">
        <w:rPr>
          <w:rFonts w:ascii="Bookman Old Style" w:hAnsi="Bookman Old Style"/>
          <w:sz w:val="26"/>
          <w:szCs w:val="26"/>
        </w:rPr>
        <w:tab/>
      </w:r>
      <w:r w:rsidRPr="006E3F42">
        <w:rPr>
          <w:rFonts w:ascii="Bookman Old Style" w:hAnsi="Bookman Old Style"/>
          <w:sz w:val="26"/>
          <w:szCs w:val="26"/>
        </w:rPr>
        <w:t xml:space="preserve">По словам автора статьи, специалиста Волгоградской областной библиотеки для молодежи, креативная практика библиотеки (процесс создания оригинального, творческого, яркого продукта, который способствует привлечению потенциальной аудитории в библиотеку) поддерживается представителями креативной индустрии Волгоградского региона. На протяжении многих лет библиотека для молодежи поддерживает контакты с различными профессиональными сообществами города, которые делятся опытом и знаниями. С их участием в библиотеке проходят уникальные мероприятия, включающие в себя инновационные и традиционные формы молодежного досуга: интеллектуальные квартирники, лекции в формате «котичинг», благотворительные акции, фестивали и многое другое. Интеллектуальные квартирники проходят в несколько этапов: доклад, игровое упражнение и философская дискуссия. Как правило, тема доклада связана с теми или иными явлениями молодежной культуры. Лекции в формате «котичинг» проводятся в библиотеке совместно психологом, философом и богословом. В основном берутся темы, связанные с самоопределением личности и жизнью в социуме. </w:t>
      </w:r>
    </w:p>
    <w:p w:rsidR="0020555C" w:rsidRPr="006E3F42" w:rsidRDefault="0020555C">
      <w:pPr>
        <w:rPr>
          <w:rFonts w:ascii="Bookman Old Style" w:hAnsi="Bookman Old Style"/>
          <w:sz w:val="26"/>
          <w:szCs w:val="26"/>
        </w:rPr>
      </w:pPr>
      <w:bookmarkStart w:id="0" w:name="_GoBack"/>
      <w:bookmarkEnd w:id="0"/>
    </w:p>
    <w:sectPr w:rsidR="0020555C" w:rsidRPr="006E3F42" w:rsidSect="006E3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DA" w:rsidRDefault="00C137DA" w:rsidP="006E3F42">
      <w:pPr>
        <w:spacing w:after="0" w:line="240" w:lineRule="auto"/>
      </w:pPr>
      <w:r>
        <w:separator/>
      </w:r>
    </w:p>
  </w:endnote>
  <w:endnote w:type="continuationSeparator" w:id="1">
    <w:p w:rsidR="00C137DA" w:rsidRDefault="00C137DA" w:rsidP="006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2" w:rsidRDefault="006E3F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2" w:rsidRDefault="006E3F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2" w:rsidRDefault="006E3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DA" w:rsidRDefault="00C137DA" w:rsidP="006E3F42">
      <w:pPr>
        <w:spacing w:after="0" w:line="240" w:lineRule="auto"/>
      </w:pPr>
      <w:r>
        <w:separator/>
      </w:r>
    </w:p>
  </w:footnote>
  <w:footnote w:type="continuationSeparator" w:id="1">
    <w:p w:rsidR="00C137DA" w:rsidRDefault="00C137DA" w:rsidP="006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2" w:rsidRDefault="00735B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421704" o:spid="_x0000_s2051" type="#_x0000_t136" style="position:absolute;margin-left:0;margin-top:0;width:638.65pt;height:6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ПРОФЕССИОНАЛАМ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2" w:rsidRDefault="00735B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421705" o:spid="_x0000_s2052" type="#_x0000_t136" style="position:absolute;margin-left:0;margin-top:0;width:638.65pt;height:6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ПРОФЕССИОНАЛАМ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42" w:rsidRDefault="00735B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421703" o:spid="_x0000_s2050" type="#_x0000_t136" style="position:absolute;margin-left:0;margin-top:0;width:638.65pt;height:6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ПРОФЕССИОНАЛАМ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0555C"/>
    <w:rsid w:val="000174D5"/>
    <w:rsid w:val="00034FF1"/>
    <w:rsid w:val="000D6D19"/>
    <w:rsid w:val="00183B20"/>
    <w:rsid w:val="001871EB"/>
    <w:rsid w:val="001C6F1A"/>
    <w:rsid w:val="0020555C"/>
    <w:rsid w:val="002B62A5"/>
    <w:rsid w:val="002E3A78"/>
    <w:rsid w:val="00326273"/>
    <w:rsid w:val="003D6A02"/>
    <w:rsid w:val="004619D4"/>
    <w:rsid w:val="00494B57"/>
    <w:rsid w:val="004E450A"/>
    <w:rsid w:val="006840AD"/>
    <w:rsid w:val="006977DD"/>
    <w:rsid w:val="006B0AAC"/>
    <w:rsid w:val="006C2AED"/>
    <w:rsid w:val="006D0B98"/>
    <w:rsid w:val="006E3F42"/>
    <w:rsid w:val="006F4706"/>
    <w:rsid w:val="00707E13"/>
    <w:rsid w:val="00735B90"/>
    <w:rsid w:val="00774D01"/>
    <w:rsid w:val="007F6BD4"/>
    <w:rsid w:val="00800F4C"/>
    <w:rsid w:val="008E45D8"/>
    <w:rsid w:val="009A0D77"/>
    <w:rsid w:val="00A63E69"/>
    <w:rsid w:val="00A75222"/>
    <w:rsid w:val="00C137DA"/>
    <w:rsid w:val="00CC14AF"/>
    <w:rsid w:val="00CF7ACA"/>
    <w:rsid w:val="00EA4082"/>
    <w:rsid w:val="00EC64B9"/>
    <w:rsid w:val="00EE3469"/>
    <w:rsid w:val="00F136DB"/>
    <w:rsid w:val="00F761D6"/>
    <w:rsid w:val="00F91343"/>
    <w:rsid w:val="00FA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F42"/>
  </w:style>
  <w:style w:type="paragraph" w:styleId="a5">
    <w:name w:val="footer"/>
    <w:basedOn w:val="a"/>
    <w:link w:val="a6"/>
    <w:uiPriority w:val="99"/>
    <w:unhideWhenUsed/>
    <w:rsid w:val="006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F42"/>
  </w:style>
  <w:style w:type="paragraph" w:styleId="a5">
    <w:name w:val="footer"/>
    <w:basedOn w:val="a"/>
    <w:link w:val="a6"/>
    <w:uiPriority w:val="99"/>
    <w:unhideWhenUsed/>
    <w:rsid w:val="006E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FDC2-B289-45F3-B079-5E99B9AA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NB-74</dc:creator>
  <cp:lastModifiedBy>HP</cp:lastModifiedBy>
  <cp:revision>3</cp:revision>
  <dcterms:created xsi:type="dcterms:W3CDTF">2024-03-26T08:36:00Z</dcterms:created>
  <dcterms:modified xsi:type="dcterms:W3CDTF">2024-03-28T06:07:00Z</dcterms:modified>
</cp:coreProperties>
</file>